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5AFB" w14:textId="25E82DC0" w:rsidR="00240CA9" w:rsidRDefault="00907F8F" w:rsidP="001E22F7">
      <w:pPr>
        <w:pStyle w:val="Titredudocument"/>
      </w:pPr>
      <w:r w:rsidRPr="00907F8F">
        <w:t>Décision unilatérale relative au versement d’une prime exceptionnelle de pouvoir d’achat</w:t>
      </w:r>
    </w:p>
    <w:p w14:paraId="572FF1EB" w14:textId="77777777" w:rsidR="00AB4566" w:rsidRPr="00AB4566" w:rsidRDefault="00AB4566" w:rsidP="001E22F7">
      <w:pPr>
        <w:pStyle w:val="Titredudocument"/>
        <w:rPr>
          <w:sz w:val="32"/>
          <w:szCs w:val="16"/>
        </w:rPr>
      </w:pPr>
    </w:p>
    <w:p w14:paraId="2825F068" w14:textId="0C7D808D" w:rsidR="00D43D68" w:rsidRDefault="00907F8F" w:rsidP="00907F8F">
      <w:pPr>
        <w:pStyle w:val="Attention"/>
      </w:pPr>
      <w:r>
        <w:t>Cet exemple de décision unilatérale de l’employeur est donné à titre indicatif et doit être adapté à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4A34662A" w14:textId="77777777" w:rsidR="00AB4566" w:rsidRDefault="00AB4566" w:rsidP="00907F8F">
      <w:pPr>
        <w:spacing w:after="0" w:line="240" w:lineRule="auto"/>
        <w:jc w:val="both"/>
        <w:rPr>
          <w:sz w:val="22"/>
        </w:rPr>
      </w:pPr>
    </w:p>
    <w:p w14:paraId="56D75DB8" w14:textId="2D81C151" w:rsidR="00B162D1" w:rsidRPr="00B162D1" w:rsidRDefault="00024E63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2D1">
        <w:rPr>
          <w:rFonts w:ascii="Arial" w:hAnsi="Arial" w:cs="Arial"/>
          <w:sz w:val="20"/>
          <w:szCs w:val="20"/>
        </w:rPr>
        <w:t>Raison sociale de l’entreprise</w:t>
      </w:r>
      <w:r w:rsidR="00226585">
        <w:rPr>
          <w:rFonts w:ascii="Arial" w:hAnsi="Arial" w:cs="Arial"/>
          <w:sz w:val="20"/>
          <w:szCs w:val="20"/>
        </w:rPr>
        <w:t xml:space="preserve"> : </w:t>
      </w:r>
      <w:r w:rsidR="00B162D1" w:rsidRPr="00B162D1">
        <w:rPr>
          <w:rFonts w:ascii="Arial" w:hAnsi="Arial" w:cs="Arial"/>
          <w:sz w:val="20"/>
          <w:szCs w:val="20"/>
        </w:rPr>
        <w:t>.............................................................</w:t>
      </w:r>
      <w:r w:rsidR="00B162D1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0C76B70A" w14:textId="1DD2C106" w:rsidR="00B162D1" w:rsidRPr="00B162D1" w:rsidRDefault="00B162D1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2D1">
        <w:rPr>
          <w:rFonts w:ascii="Arial" w:hAnsi="Arial" w:cs="Arial"/>
          <w:sz w:val="20"/>
          <w:szCs w:val="20"/>
        </w:rPr>
        <w:t>N° SIREN</w:t>
      </w:r>
      <w:r w:rsidR="00226585">
        <w:rPr>
          <w:rFonts w:ascii="Arial" w:hAnsi="Arial" w:cs="Arial"/>
          <w:sz w:val="20"/>
          <w:szCs w:val="20"/>
        </w:rPr>
        <w:t xml:space="preserve"> : </w:t>
      </w:r>
      <w:r w:rsidRPr="00B162D1">
        <w:rPr>
          <w:rFonts w:ascii="Arial" w:hAnsi="Arial" w:cs="Arial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024E63">
        <w:rPr>
          <w:rFonts w:ascii="Arial" w:hAnsi="Arial" w:cs="Arial"/>
          <w:sz w:val="20"/>
          <w:szCs w:val="20"/>
        </w:rPr>
        <w:t>......</w:t>
      </w:r>
    </w:p>
    <w:p w14:paraId="4158BC58" w14:textId="283CA8F1" w:rsidR="00B162D1" w:rsidRPr="00B162D1" w:rsidRDefault="00B162D1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62D1">
        <w:rPr>
          <w:rFonts w:ascii="Arial" w:hAnsi="Arial" w:cs="Arial"/>
          <w:sz w:val="20"/>
          <w:szCs w:val="20"/>
        </w:rPr>
        <w:t>Adresse</w:t>
      </w:r>
      <w:r w:rsidR="00226585" w:rsidRPr="00B162D1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...................................................................................................................................................</w:t>
      </w:r>
    </w:p>
    <w:p w14:paraId="6824622E" w14:textId="57402C81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53F82322" w14:textId="77777777" w:rsidR="00AB4566" w:rsidRDefault="00AB4566" w:rsidP="00907F8F">
      <w:pPr>
        <w:spacing w:after="0" w:line="240" w:lineRule="auto"/>
        <w:jc w:val="both"/>
        <w:rPr>
          <w:sz w:val="22"/>
        </w:rPr>
      </w:pPr>
    </w:p>
    <w:p w14:paraId="2FB8107B" w14:textId="7168BA1F" w:rsidR="00907F8F" w:rsidRDefault="00907F8F" w:rsidP="00907F8F">
      <w:pPr>
        <w:spacing w:after="0" w:line="240" w:lineRule="auto"/>
        <w:jc w:val="both"/>
        <w:rPr>
          <w:sz w:val="22"/>
        </w:rPr>
      </w:pPr>
      <w:r w:rsidRPr="00CB72F8">
        <w:rPr>
          <w:sz w:val="22"/>
        </w:rPr>
        <w:t>La présente décision unilatérale s’inscrit dans le cadre de la loi de finance</w:t>
      </w:r>
      <w:r w:rsidR="00CB72F8">
        <w:rPr>
          <w:sz w:val="22"/>
        </w:rPr>
        <w:t xml:space="preserve">s rectificative pour 2021 </w:t>
      </w:r>
      <w:r w:rsidRPr="00CB72F8">
        <w:rPr>
          <w:sz w:val="22"/>
        </w:rPr>
        <w:t xml:space="preserve">(art. </w:t>
      </w:r>
      <w:r w:rsidR="00CB72F8">
        <w:rPr>
          <w:sz w:val="22"/>
        </w:rPr>
        <w:t>4</w:t>
      </w:r>
      <w:r w:rsidRPr="00CB72F8">
        <w:rPr>
          <w:sz w:val="22"/>
        </w:rPr>
        <w:t xml:space="preserve">) qui prévoit la possibilité de verser une prime exceptionnelle de pouvoir d’achat. </w:t>
      </w:r>
    </w:p>
    <w:p w14:paraId="59B9313E" w14:textId="77777777" w:rsidR="00AB4566" w:rsidRPr="00CB72F8" w:rsidRDefault="00AB4566" w:rsidP="00907F8F">
      <w:pPr>
        <w:spacing w:after="0" w:line="240" w:lineRule="auto"/>
        <w:jc w:val="both"/>
        <w:rPr>
          <w:sz w:val="22"/>
        </w:rPr>
      </w:pPr>
    </w:p>
    <w:p w14:paraId="130248FE" w14:textId="14794D05" w:rsidR="00907F8F" w:rsidRPr="00907F8F" w:rsidRDefault="00907F8F" w:rsidP="00907F8F">
      <w:pPr>
        <w:pStyle w:val="Titre1"/>
      </w:pPr>
      <w:r w:rsidRPr="00907F8F">
        <w:t xml:space="preserve">Champ d’application </w:t>
      </w:r>
    </w:p>
    <w:p w14:paraId="59B6FF3B" w14:textId="0C8C86AC" w:rsid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La présente décision s’applique à tous les salariés à temps complet ou à temps partiel, quelle que soit la nature du contrat de travail, inscrits à l’effectif de l’entreprise à la date </w:t>
      </w:r>
      <w:r w:rsidRPr="00B162D1">
        <w:rPr>
          <w:sz w:val="22"/>
        </w:rPr>
        <w:t xml:space="preserve">de versement de la prime exceptionnelle de pouvoir d’achat </w:t>
      </w:r>
      <w:r w:rsidRPr="00B162D1">
        <w:rPr>
          <w:i/>
          <w:iCs/>
          <w:sz w:val="22"/>
        </w:rPr>
        <w:t>(il est également possible de retenir la date de signature de la décision unilatérale)</w:t>
      </w:r>
      <w:r w:rsidRPr="00907F8F">
        <w:rPr>
          <w:i/>
          <w:sz w:val="22"/>
        </w:rPr>
        <w:t xml:space="preserve"> </w:t>
      </w:r>
      <w:r w:rsidRPr="00907F8F">
        <w:rPr>
          <w:sz w:val="22"/>
        </w:rPr>
        <w:t xml:space="preserve">et ayant perçu au cours de la période référence une rémunération inférieure à trois fois la valeur annuelle du SMIC </w:t>
      </w:r>
      <w:r w:rsidRPr="00907F8F">
        <w:rPr>
          <w:i/>
          <w:sz w:val="22"/>
        </w:rPr>
        <w:t>( il est possible de prévoir un plafond inférieur, mais il est conseillé de garder le référentiel du SMIC : par exemple « rémunération inférieure à X fois le SMIC »)</w:t>
      </w:r>
      <w:r w:rsidRPr="00907F8F">
        <w:rPr>
          <w:sz w:val="22"/>
        </w:rPr>
        <w:t>.</w:t>
      </w:r>
    </w:p>
    <w:p w14:paraId="18453871" w14:textId="77777777" w:rsidR="00907F8F" w:rsidRDefault="00907F8F" w:rsidP="00907F8F">
      <w:pPr>
        <w:spacing w:after="0" w:line="240" w:lineRule="auto"/>
        <w:jc w:val="both"/>
        <w:rPr>
          <w:sz w:val="22"/>
        </w:rPr>
      </w:pPr>
    </w:p>
    <w:p w14:paraId="7643F231" w14:textId="3FCF8C46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La période de référence est définie comme la période des douze mois précédant la date de versement de la prime.</w:t>
      </w:r>
    </w:p>
    <w:p w14:paraId="27AF4B12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0ADFC264" w14:textId="6501F043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Pour les salariés qui ne sont pas employés à temps plein, le SMIC pris en compte est celui qui correspond à la durée de travail prévue au contrat au titre de la période</w:t>
      </w:r>
      <w:r w:rsidR="00D15E73">
        <w:rPr>
          <w:sz w:val="22"/>
        </w:rPr>
        <w:t>.</w:t>
      </w:r>
      <w:r w:rsidRPr="00907F8F">
        <w:rPr>
          <w:sz w:val="22"/>
        </w:rPr>
        <w:t xml:space="preserve"> </w:t>
      </w:r>
    </w:p>
    <w:p w14:paraId="4531296E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0A0F3628" w14:textId="22961EC6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Pour les salariés embauchés au cours de la période de référence, le SMIC pris en compte est calculé au regard de leur </w:t>
      </w:r>
      <w:r w:rsidR="002B7E9D">
        <w:rPr>
          <w:sz w:val="22"/>
        </w:rPr>
        <w:t>date d’entrée</w:t>
      </w:r>
      <w:r w:rsidRPr="00907F8F">
        <w:rPr>
          <w:sz w:val="22"/>
        </w:rPr>
        <w:t xml:space="preserve"> dans l’entreprise.</w:t>
      </w:r>
    </w:p>
    <w:p w14:paraId="049D642B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25186B9D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L’entreprise s’engage à informer les entreprises de travail temporaire, ayant mis à disposition du personnel, du versement de la prime exceptionnelle de pouvoir d’achat.</w:t>
      </w:r>
    </w:p>
    <w:p w14:paraId="34E51D09" w14:textId="30A30CA3" w:rsidR="00AB4566" w:rsidRDefault="00AB4566">
      <w:pPr>
        <w:rPr>
          <w:sz w:val="22"/>
        </w:rPr>
      </w:pPr>
      <w:r>
        <w:rPr>
          <w:sz w:val="22"/>
        </w:rPr>
        <w:br w:type="page"/>
      </w:r>
    </w:p>
    <w:p w14:paraId="7A289F61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5497A22F" w14:textId="77777777" w:rsidR="00907F8F" w:rsidRPr="00907F8F" w:rsidRDefault="00907F8F" w:rsidP="00907F8F">
      <w:pPr>
        <w:pStyle w:val="Titre1"/>
      </w:pPr>
      <w:r w:rsidRPr="00907F8F">
        <w:t>Montant de la prime (plusieurs formules)</w:t>
      </w:r>
    </w:p>
    <w:p w14:paraId="5835BC97" w14:textId="634CE0CF" w:rsidR="00907F8F" w:rsidRPr="00907F8F" w:rsidRDefault="00907F8F" w:rsidP="00907F8F">
      <w:pPr>
        <w:jc w:val="both"/>
        <w:rPr>
          <w:i/>
          <w:iCs/>
          <w:sz w:val="22"/>
        </w:rPr>
      </w:pPr>
      <w:r w:rsidRPr="00907F8F">
        <w:rPr>
          <w:i/>
          <w:iCs/>
          <w:sz w:val="22"/>
        </w:rPr>
        <w:t xml:space="preserve">Le montant de la prime est libre mais les exonérations sociales et fiscales sont plafonnées à un montant de </w:t>
      </w:r>
      <w:r w:rsidR="00024E63">
        <w:rPr>
          <w:i/>
          <w:iCs/>
          <w:sz w:val="22"/>
        </w:rPr>
        <w:t>1 000</w:t>
      </w:r>
      <w:r w:rsidR="006159DA">
        <w:rPr>
          <w:i/>
          <w:iCs/>
          <w:sz w:val="22"/>
        </w:rPr>
        <w:t xml:space="preserve"> € </w:t>
      </w:r>
      <w:r w:rsidRPr="00907F8F">
        <w:rPr>
          <w:i/>
          <w:iCs/>
          <w:sz w:val="22"/>
        </w:rPr>
        <w:t>par bénéficiaire</w:t>
      </w:r>
      <w:r w:rsidR="00F06D47">
        <w:rPr>
          <w:i/>
          <w:iCs/>
          <w:sz w:val="22"/>
        </w:rPr>
        <w:t>. Ce montant peut être porté à 2 000 €</w:t>
      </w:r>
      <w:r w:rsidR="00AB4566">
        <w:rPr>
          <w:i/>
          <w:iCs/>
          <w:sz w:val="22"/>
        </w:rPr>
        <w:t>,</w:t>
      </w:r>
      <w:r w:rsidR="006159DA">
        <w:rPr>
          <w:i/>
          <w:iCs/>
          <w:sz w:val="22"/>
        </w:rPr>
        <w:t xml:space="preserve"> </w:t>
      </w:r>
      <w:r w:rsidR="00024E63">
        <w:rPr>
          <w:i/>
          <w:iCs/>
          <w:sz w:val="22"/>
        </w:rPr>
        <w:t xml:space="preserve">sans condition </w:t>
      </w:r>
      <w:r w:rsidR="006159DA">
        <w:rPr>
          <w:i/>
          <w:iCs/>
          <w:sz w:val="22"/>
        </w:rPr>
        <w:t>dans les entreprises employant moins de 50 salariés</w:t>
      </w:r>
      <w:r w:rsidR="00AB4566">
        <w:rPr>
          <w:i/>
          <w:iCs/>
          <w:sz w:val="22"/>
        </w:rPr>
        <w:t>,</w:t>
      </w:r>
      <w:r w:rsidR="00024E63">
        <w:rPr>
          <w:i/>
          <w:iCs/>
          <w:sz w:val="22"/>
        </w:rPr>
        <w:t xml:space="preserve"> et sous réserve de remplir certaines conditions dans les entreprises d’au moins 50 salariés</w:t>
      </w:r>
      <w:r w:rsidRPr="00907F8F">
        <w:rPr>
          <w:i/>
          <w:iCs/>
          <w:sz w:val="22"/>
        </w:rPr>
        <w:t xml:space="preserve">. </w:t>
      </w:r>
    </w:p>
    <w:p w14:paraId="2090CCB1" w14:textId="77777777" w:rsidR="00907F8F" w:rsidRPr="00907F8F" w:rsidRDefault="00907F8F" w:rsidP="00907F8F">
      <w:pPr>
        <w:pStyle w:val="Enumration2"/>
      </w:pPr>
      <w:r w:rsidRPr="00907F8F">
        <w:t>Montant égalitaire (formule 1)</w:t>
      </w:r>
    </w:p>
    <w:p w14:paraId="6E0961FD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La prime exceptionnelle de pouvoir d’achat est d’un montant brut de ………… euros.</w:t>
      </w:r>
    </w:p>
    <w:p w14:paraId="79010FE2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38CB3D60" w14:textId="77777777" w:rsidR="00907F8F" w:rsidRPr="00907F8F" w:rsidRDefault="00907F8F" w:rsidP="00907F8F">
      <w:pPr>
        <w:pStyle w:val="Enumration2"/>
      </w:pPr>
      <w:r w:rsidRPr="00907F8F">
        <w:t>Variation en fonction du niveau de rémunération (formule 2)</w:t>
      </w:r>
    </w:p>
    <w:p w14:paraId="67FE517B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Pour une rémunération annuelle brute au sens de l’article L. 242-1 du Code de la sécurité sociale perçue au cours de la période de référence jusqu’à …. Euros : la prime exceptionnelle de pouvoir d’achat est d’un montant brut de ………… euros</w:t>
      </w:r>
    </w:p>
    <w:p w14:paraId="2288D213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75EFD613" w14:textId="15A272C1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Pour une rémunération annuelle brute au sens de l’article L. 242-1 du Code de la sécurité sociale perçue au cours de la période de référence de …. </w:t>
      </w:r>
      <w:proofErr w:type="gramStart"/>
      <w:r>
        <w:rPr>
          <w:sz w:val="22"/>
        </w:rPr>
        <w:t>e</w:t>
      </w:r>
      <w:r w:rsidRPr="00907F8F">
        <w:rPr>
          <w:sz w:val="22"/>
        </w:rPr>
        <w:t>uros</w:t>
      </w:r>
      <w:proofErr w:type="gramEnd"/>
      <w:r w:rsidRPr="00907F8F">
        <w:rPr>
          <w:sz w:val="22"/>
        </w:rPr>
        <w:t xml:space="preserve"> jusqu’à …. </w:t>
      </w:r>
      <w:proofErr w:type="gramStart"/>
      <w:r>
        <w:rPr>
          <w:sz w:val="22"/>
        </w:rPr>
        <w:t>e</w:t>
      </w:r>
      <w:r w:rsidRPr="00907F8F">
        <w:rPr>
          <w:sz w:val="22"/>
        </w:rPr>
        <w:t>uros</w:t>
      </w:r>
      <w:proofErr w:type="gramEnd"/>
      <w:r w:rsidRPr="00907F8F">
        <w:rPr>
          <w:sz w:val="22"/>
        </w:rPr>
        <w:t> : la prime exceptionnelle de pouvoir d’achat est d’un montant brut de ………… euros</w:t>
      </w:r>
    </w:p>
    <w:p w14:paraId="0CF4996E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1EAED4A0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bookmarkStart w:id="0" w:name="_Hlk27407796"/>
      <w:r w:rsidRPr="00907F8F">
        <w:rPr>
          <w:sz w:val="22"/>
        </w:rPr>
        <w:t>Le salarié qui n’a perçu aucune rémunération au sens de l’article L. 242-1 du Code de la sécurité sociale au cours de la période de référence, n’est pas bénéficiaire de la présente prime.</w:t>
      </w:r>
    </w:p>
    <w:bookmarkEnd w:id="0"/>
    <w:p w14:paraId="341FB26D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3F0CD132" w14:textId="77777777" w:rsidR="00907F8F" w:rsidRPr="00907F8F" w:rsidRDefault="00907F8F" w:rsidP="00907F8F">
      <w:pPr>
        <w:pStyle w:val="Enumration2"/>
      </w:pPr>
      <w:r w:rsidRPr="00907F8F">
        <w:t>Variation en fonction de la durée de présence effective (formule 3)</w:t>
      </w:r>
    </w:p>
    <w:p w14:paraId="69C23D95" w14:textId="11E71C0F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bookmarkStart w:id="1" w:name="_Hlk27404631"/>
      <w:r w:rsidRPr="00907F8F">
        <w:rPr>
          <w:sz w:val="22"/>
        </w:rPr>
        <w:t>La prime exceptionnelle de pouvoir d’achat est d’un montant brut maximum de ………… euros</w:t>
      </w:r>
      <w:bookmarkEnd w:id="1"/>
      <w:r w:rsidRPr="00907F8F">
        <w:rPr>
          <w:sz w:val="22"/>
        </w:rPr>
        <w:t>.</w:t>
      </w:r>
      <w:r w:rsidR="00656DFD">
        <w:rPr>
          <w:sz w:val="22"/>
        </w:rPr>
        <w:t xml:space="preserve"> Elle est calculée au prorata du temps de présence effective pendant la période de référence.</w:t>
      </w:r>
    </w:p>
    <w:p w14:paraId="5BC175D6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27D2847C" w14:textId="1522B478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Les salariés entrés en cours période de référence perçoivent la prime au prorata de leur </w:t>
      </w:r>
      <w:r w:rsidR="00656DFD">
        <w:rPr>
          <w:sz w:val="22"/>
        </w:rPr>
        <w:t>date d’entrée dans l’entreprise</w:t>
      </w:r>
      <w:r w:rsidRPr="00907F8F">
        <w:rPr>
          <w:sz w:val="22"/>
        </w:rPr>
        <w:t>.</w:t>
      </w:r>
    </w:p>
    <w:p w14:paraId="5231588C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4A1EC1FC" w14:textId="66337796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Sont assimilées à une période de présence les </w:t>
      </w:r>
      <w:r w:rsidR="005E0A77">
        <w:rPr>
          <w:sz w:val="22"/>
        </w:rPr>
        <w:t xml:space="preserve">congés prévus </w:t>
      </w:r>
      <w:r w:rsidR="005E0A77" w:rsidRPr="005E0A77">
        <w:rPr>
          <w:sz w:val="22"/>
        </w:rPr>
        <w:t>chapitre V, du titre II, du livre II de la 1ère partie du Code du travail</w:t>
      </w:r>
      <w:r w:rsidR="005E0A77">
        <w:rPr>
          <w:sz w:val="22"/>
        </w:rPr>
        <w:t xml:space="preserve">, notamment </w:t>
      </w:r>
      <w:r w:rsidRPr="00907F8F">
        <w:rPr>
          <w:sz w:val="22"/>
        </w:rPr>
        <w:t>: congé de maternité, congé de paternité et d’accueil de l’enfant, congé d’adoption, congé d’éducation des enfants</w:t>
      </w:r>
      <w:r w:rsidR="0015068B">
        <w:rPr>
          <w:sz w:val="22"/>
        </w:rPr>
        <w:t>, congé pour enfant malade</w:t>
      </w:r>
      <w:r w:rsidRPr="00907F8F">
        <w:rPr>
          <w:sz w:val="22"/>
        </w:rPr>
        <w:t>.</w:t>
      </w:r>
    </w:p>
    <w:p w14:paraId="1904B332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645B460D" w14:textId="6533DBB9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Le salarié, absent intégralement au cours de la période de référence et ne pouvant invoquer une période de présence assimilée conformément à l’alinéa précédent, n’est pas bénéficiaire de la présente prime.</w:t>
      </w:r>
    </w:p>
    <w:p w14:paraId="1C9B461A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0BDD2412" w14:textId="77777777" w:rsidR="00907F8F" w:rsidRPr="00907F8F" w:rsidRDefault="00907F8F" w:rsidP="00907F8F">
      <w:pPr>
        <w:pStyle w:val="Enumration2"/>
      </w:pPr>
      <w:r w:rsidRPr="00907F8F">
        <w:t>Variation en fonction de la durée du travail (formule 4)</w:t>
      </w:r>
    </w:p>
    <w:p w14:paraId="3DBD8B19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La prime exceptionnelle de pouvoir d’achat est d’un montant brut maximum de ………… euros correspondant à une durée du travail à temps complet.</w:t>
      </w:r>
    </w:p>
    <w:p w14:paraId="2B8E1FA4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06609D17" w14:textId="04809AC5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Les salariés à temps partiel perçoivent la prime visée à l’alinéa précédent calculée au prorata de </w:t>
      </w:r>
      <w:r w:rsidR="00CC1E66">
        <w:rPr>
          <w:sz w:val="22"/>
        </w:rPr>
        <w:t>la</w:t>
      </w:r>
      <w:r w:rsidRPr="00907F8F">
        <w:rPr>
          <w:sz w:val="22"/>
        </w:rPr>
        <w:t xml:space="preserve"> durée du travail</w:t>
      </w:r>
      <w:r w:rsidR="00CC1E66">
        <w:rPr>
          <w:sz w:val="22"/>
        </w:rPr>
        <w:t xml:space="preserve"> prévue au contrat de travail</w:t>
      </w:r>
      <w:r w:rsidRPr="00907F8F">
        <w:rPr>
          <w:sz w:val="22"/>
        </w:rPr>
        <w:t>.</w:t>
      </w:r>
    </w:p>
    <w:p w14:paraId="43772BE9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62EFD706" w14:textId="77777777" w:rsidR="00907F8F" w:rsidRPr="00907F8F" w:rsidRDefault="00907F8F" w:rsidP="00907F8F">
      <w:pPr>
        <w:pStyle w:val="Titre1"/>
      </w:pPr>
      <w:r w:rsidRPr="00907F8F">
        <w:lastRenderedPageBreak/>
        <w:t>Principe de non-substitution</w:t>
      </w:r>
    </w:p>
    <w:p w14:paraId="25E43A78" w14:textId="11DA4891" w:rsid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La prime exceptionnelle de pouvoir d’achat ne peut se substituer à aucun des éléments de rémunération, au sens de l’article L. 242-1 du Code de la sécurité sociale, versés par l’employeur ou qui deviennent obligatoires en vertu de règles légales, contractuelles ou d’usage. Elle ne peut non plus se substituer à des augmentations de rémunération ni à des primes prévues par un accord salarial, le contrat de travail ou les usages en vigueur dans l’entreprise.</w:t>
      </w:r>
    </w:p>
    <w:p w14:paraId="7E1EAC67" w14:textId="77777777" w:rsidR="00464B1A" w:rsidRPr="00907F8F" w:rsidRDefault="00464B1A" w:rsidP="00907F8F">
      <w:pPr>
        <w:spacing w:after="0" w:line="240" w:lineRule="auto"/>
        <w:jc w:val="both"/>
        <w:rPr>
          <w:sz w:val="22"/>
        </w:rPr>
      </w:pPr>
    </w:p>
    <w:p w14:paraId="0A888651" w14:textId="77777777" w:rsidR="00907F8F" w:rsidRPr="00907F8F" w:rsidRDefault="00907F8F" w:rsidP="00907F8F">
      <w:pPr>
        <w:pStyle w:val="Titre1"/>
      </w:pPr>
      <w:r w:rsidRPr="00907F8F">
        <w:t>Modalités de versement</w:t>
      </w:r>
    </w:p>
    <w:p w14:paraId="2B0D3B21" w14:textId="435A1C50" w:rsidR="00907F8F" w:rsidRPr="00E041BE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La prime exceptionnelle de pouvoir d’achat </w:t>
      </w:r>
      <w:r w:rsidRPr="00E041BE">
        <w:rPr>
          <w:sz w:val="22"/>
        </w:rPr>
        <w:t xml:space="preserve">est versée le …… </w:t>
      </w:r>
      <w:r w:rsidRPr="00E041BE">
        <w:rPr>
          <w:i/>
          <w:sz w:val="22"/>
        </w:rPr>
        <w:t xml:space="preserve">(le versement doit être réalisé </w:t>
      </w:r>
      <w:r w:rsidR="00E041BE">
        <w:rPr>
          <w:i/>
          <w:sz w:val="22"/>
        </w:rPr>
        <w:t>entre le</w:t>
      </w:r>
      <w:r w:rsidRPr="00E041BE">
        <w:rPr>
          <w:i/>
          <w:sz w:val="22"/>
        </w:rPr>
        <w:t xml:space="preserve"> 1</w:t>
      </w:r>
      <w:r w:rsidRPr="00E041BE">
        <w:rPr>
          <w:i/>
          <w:sz w:val="22"/>
          <w:vertAlign w:val="superscript"/>
        </w:rPr>
        <w:t>er</w:t>
      </w:r>
      <w:r w:rsidRPr="00E041BE">
        <w:rPr>
          <w:i/>
          <w:sz w:val="22"/>
        </w:rPr>
        <w:t xml:space="preserve"> </w:t>
      </w:r>
      <w:r w:rsidR="00E041BE" w:rsidRPr="00E041BE">
        <w:rPr>
          <w:i/>
          <w:sz w:val="22"/>
        </w:rPr>
        <w:t>juin 2021</w:t>
      </w:r>
      <w:r w:rsidRPr="00E041BE">
        <w:rPr>
          <w:i/>
          <w:sz w:val="22"/>
        </w:rPr>
        <w:t xml:space="preserve"> et le 31 </w:t>
      </w:r>
      <w:r w:rsidR="00E041BE" w:rsidRPr="00E041BE">
        <w:rPr>
          <w:i/>
          <w:sz w:val="22"/>
        </w:rPr>
        <w:t>mars</w:t>
      </w:r>
      <w:r w:rsidRPr="00E041BE">
        <w:rPr>
          <w:i/>
          <w:sz w:val="22"/>
        </w:rPr>
        <w:t xml:space="preserve"> 202</w:t>
      </w:r>
      <w:r w:rsidR="00E041BE" w:rsidRPr="00E041BE">
        <w:rPr>
          <w:i/>
          <w:sz w:val="22"/>
        </w:rPr>
        <w:t>2</w:t>
      </w:r>
      <w:r w:rsidRPr="00E041BE">
        <w:rPr>
          <w:i/>
          <w:sz w:val="22"/>
        </w:rPr>
        <w:t>)</w:t>
      </w:r>
      <w:r w:rsidRPr="00E041BE">
        <w:rPr>
          <w:sz w:val="22"/>
        </w:rPr>
        <w:t>.</w:t>
      </w:r>
    </w:p>
    <w:p w14:paraId="35A22925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29114736" w14:textId="22A522FD" w:rsid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Le montant de la prime exceptionnelle de pouvoir d’achat est constaté sur le bulletin de paie du mois de versement.</w:t>
      </w:r>
    </w:p>
    <w:p w14:paraId="343BF9A3" w14:textId="77777777" w:rsidR="005E7902" w:rsidRPr="00907F8F" w:rsidRDefault="005E7902" w:rsidP="00907F8F">
      <w:pPr>
        <w:spacing w:after="0" w:line="240" w:lineRule="auto"/>
        <w:jc w:val="both"/>
        <w:rPr>
          <w:sz w:val="22"/>
        </w:rPr>
      </w:pPr>
    </w:p>
    <w:p w14:paraId="16E5A322" w14:textId="77777777" w:rsidR="00907F8F" w:rsidRPr="00907F8F" w:rsidRDefault="00907F8F" w:rsidP="00907F8F">
      <w:pPr>
        <w:pStyle w:val="Titre1"/>
      </w:pPr>
      <w:r w:rsidRPr="00907F8F">
        <w:t>Information des représentants du personnel et publicité</w:t>
      </w:r>
    </w:p>
    <w:p w14:paraId="37AB16B2" w14:textId="5BC0F31E" w:rsidR="00907F8F" w:rsidRPr="00485F61" w:rsidRDefault="00907F8F" w:rsidP="00907F8F">
      <w:pPr>
        <w:spacing w:after="0" w:line="240" w:lineRule="auto"/>
        <w:jc w:val="both"/>
        <w:rPr>
          <w:sz w:val="22"/>
        </w:rPr>
      </w:pPr>
      <w:r w:rsidRPr="00485F61">
        <w:rPr>
          <w:sz w:val="22"/>
        </w:rPr>
        <w:t>Le comité social et économique est informé de la présente décision unilatérale avant la date de versement de la prime</w:t>
      </w:r>
      <w:r w:rsidR="00485F61">
        <w:rPr>
          <w:sz w:val="22"/>
        </w:rPr>
        <w:t xml:space="preserve"> </w:t>
      </w:r>
      <w:r w:rsidR="00485F61" w:rsidRPr="00485F61">
        <w:rPr>
          <w:i/>
          <w:iCs/>
          <w:sz w:val="22"/>
        </w:rPr>
        <w:t>(s’il existe)</w:t>
      </w:r>
      <w:r w:rsidRPr="00485F61">
        <w:rPr>
          <w:sz w:val="22"/>
        </w:rPr>
        <w:t>.</w:t>
      </w:r>
    </w:p>
    <w:p w14:paraId="39926D5A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4179F980" w14:textId="7BE49EC1" w:rsid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>La décision unilatérale fait l’objet d’un affichage sur les panneaux réservés à la communication avec le personnel. Une copie de la décision est jointe au bulletin de paie constatant le paiement de la prime.</w:t>
      </w:r>
    </w:p>
    <w:p w14:paraId="0CAB4954" w14:textId="77777777" w:rsidR="005E7902" w:rsidRPr="00907F8F" w:rsidRDefault="005E7902" w:rsidP="00907F8F">
      <w:pPr>
        <w:spacing w:after="0" w:line="240" w:lineRule="auto"/>
        <w:jc w:val="both"/>
        <w:rPr>
          <w:sz w:val="22"/>
        </w:rPr>
      </w:pPr>
    </w:p>
    <w:p w14:paraId="7335C7E5" w14:textId="77777777" w:rsidR="00907F8F" w:rsidRPr="00907F8F" w:rsidRDefault="00907F8F" w:rsidP="00907F8F">
      <w:pPr>
        <w:pStyle w:val="Titre1"/>
      </w:pPr>
      <w:r w:rsidRPr="00907F8F">
        <w:t xml:space="preserve">Durée de la décision unilatérale </w:t>
      </w:r>
    </w:p>
    <w:p w14:paraId="2376A071" w14:textId="2228CEB2" w:rsidR="00907F8F" w:rsidRDefault="002427F1" w:rsidP="00907F8F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La prime </w:t>
      </w:r>
      <w:r w:rsidRPr="00907F8F">
        <w:rPr>
          <w:sz w:val="22"/>
        </w:rPr>
        <w:t>exceptionnelle de pouvoir d’achat</w:t>
      </w:r>
      <w:r>
        <w:rPr>
          <w:sz w:val="22"/>
        </w:rPr>
        <w:t xml:space="preserve"> sera versée une seule fois en application de la présente décision unilatérale</w:t>
      </w:r>
      <w:r w:rsidR="00907F8F" w:rsidRPr="00907F8F">
        <w:rPr>
          <w:sz w:val="22"/>
        </w:rPr>
        <w:t>. Elle ne saurait créer un droit acquis au bénéfice des salariés, ni constituer un usage ou un engagement unilatéral</w:t>
      </w:r>
      <w:r>
        <w:rPr>
          <w:sz w:val="22"/>
        </w:rPr>
        <w:t xml:space="preserve"> pour l’avenir</w:t>
      </w:r>
      <w:r w:rsidR="00907F8F" w:rsidRPr="00907F8F">
        <w:rPr>
          <w:sz w:val="22"/>
        </w:rPr>
        <w:t>.</w:t>
      </w:r>
    </w:p>
    <w:p w14:paraId="128E3877" w14:textId="77777777" w:rsidR="005E7902" w:rsidRPr="00907F8F" w:rsidRDefault="005E7902" w:rsidP="00907F8F">
      <w:pPr>
        <w:spacing w:after="0" w:line="240" w:lineRule="auto"/>
        <w:jc w:val="both"/>
        <w:rPr>
          <w:sz w:val="22"/>
        </w:rPr>
      </w:pPr>
    </w:p>
    <w:p w14:paraId="18F5C91F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28317B56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Fait à </w:t>
      </w:r>
      <w:proofErr w:type="gramStart"/>
      <w:r w:rsidRPr="00907F8F">
        <w:rPr>
          <w:sz w:val="22"/>
        </w:rPr>
        <w:t>…….</w:t>
      </w:r>
      <w:proofErr w:type="gramEnd"/>
      <w:r w:rsidRPr="00907F8F">
        <w:rPr>
          <w:sz w:val="22"/>
        </w:rPr>
        <w:t xml:space="preserve">, le …….., </w:t>
      </w:r>
    </w:p>
    <w:p w14:paraId="0D555A40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</w:p>
    <w:p w14:paraId="1E741215" w14:textId="77777777" w:rsidR="00907F8F" w:rsidRPr="00907F8F" w:rsidRDefault="00907F8F" w:rsidP="00907F8F">
      <w:pPr>
        <w:spacing w:after="0" w:line="240" w:lineRule="auto"/>
        <w:jc w:val="both"/>
        <w:rPr>
          <w:sz w:val="22"/>
        </w:rPr>
      </w:pPr>
      <w:r w:rsidRPr="00907F8F">
        <w:rPr>
          <w:sz w:val="22"/>
        </w:rPr>
        <w:t xml:space="preserve">Pour l’entreprise </w:t>
      </w:r>
      <w:proofErr w:type="gramStart"/>
      <w:r w:rsidRPr="00907F8F">
        <w:rPr>
          <w:sz w:val="22"/>
        </w:rPr>
        <w:t>…….</w:t>
      </w:r>
      <w:proofErr w:type="gramEnd"/>
      <w:r w:rsidRPr="00907F8F">
        <w:rPr>
          <w:sz w:val="22"/>
        </w:rPr>
        <w:t>.</w:t>
      </w:r>
    </w:p>
    <w:p w14:paraId="399E5ADA" w14:textId="0B102CD9" w:rsidR="00907F8F" w:rsidRDefault="00907F8F" w:rsidP="00E277C4">
      <w:pPr>
        <w:spacing w:before="360"/>
      </w:pPr>
    </w:p>
    <w:sectPr w:rsidR="00907F8F" w:rsidSect="005F7E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39E4" w14:textId="77777777" w:rsidR="00A50663" w:rsidRDefault="00A50663" w:rsidP="001E22F7">
      <w:r>
        <w:separator/>
      </w:r>
    </w:p>
  </w:endnote>
  <w:endnote w:type="continuationSeparator" w:id="0">
    <w:p w14:paraId="19DCCD22" w14:textId="77777777" w:rsidR="00A50663" w:rsidRDefault="00A50663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6298" w14:textId="4E91ABEE" w:rsidR="001F0037" w:rsidRPr="006D1CB6" w:rsidRDefault="00977888" w:rsidP="001E22F7">
    <w:pPr>
      <w:pStyle w:val="Pieddepage"/>
    </w:pPr>
    <w:r w:rsidRPr="00094B3F">
      <w:rPr>
        <w:b/>
        <w:bCs/>
        <w:noProof/>
        <w:color w:val="15266B"/>
      </w:rPr>
      <w:drawing>
        <wp:anchor distT="0" distB="0" distL="114300" distR="114300" simplePos="0" relativeHeight="251662336" behindDoc="0" locked="0" layoutInCell="1" allowOverlap="1" wp14:anchorId="78A77490" wp14:editId="2195413A">
          <wp:simplePos x="0" y="0"/>
          <wp:positionH relativeFrom="rightMargin">
            <wp:align>left</wp:align>
          </wp:positionH>
          <wp:positionV relativeFrom="paragraph">
            <wp:posOffset>136389</wp:posOffset>
          </wp:positionV>
          <wp:extent cx="144000" cy="163662"/>
          <wp:effectExtent l="9207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evron 4uatre - pour encadrer 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4000" cy="16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F8F">
      <w:t xml:space="preserve">DU Prime pouvoir d’achat – </w:t>
    </w:r>
    <w:r w:rsidR="00D15E73">
      <w:t>19</w:t>
    </w:r>
    <w:r w:rsidR="00907F8F">
      <w:t xml:space="preserve"> </w:t>
    </w:r>
    <w:r w:rsidR="00D15E73">
      <w:t>juillet</w:t>
    </w:r>
    <w:r w:rsidR="00907F8F">
      <w:t xml:space="preserve"> 202</w:t>
    </w:r>
    <w:r w:rsidR="00D15E73">
      <w:t>1</w:t>
    </w:r>
    <w:r w:rsidR="00D43D68">
      <w:t xml:space="preserve"> </w:t>
    </w:r>
    <w:r w:rsidR="001F0037" w:rsidRPr="006D1CB6">
      <w:tab/>
    </w:r>
    <w:r w:rsidRPr="006D1CB6">
      <w:t xml:space="preserve">Page </w:t>
    </w:r>
    <w:r w:rsidRPr="006D1CB6">
      <w:fldChar w:fldCharType="begin"/>
    </w:r>
    <w:r w:rsidRPr="006D1CB6">
      <w:instrText>PAGE  \* Arabic  \* MERGEFORMAT</w:instrText>
    </w:r>
    <w:r w:rsidRPr="006D1CB6">
      <w:fldChar w:fldCharType="separate"/>
    </w:r>
    <w:r>
      <w:t>13</w:t>
    </w:r>
    <w:r w:rsidRPr="006D1CB6">
      <w:fldChar w:fldCharType="end"/>
    </w:r>
    <w:r w:rsidRPr="006D1CB6">
      <w:t xml:space="preserve"> sur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66F2" w14:textId="77777777" w:rsidR="00A50663" w:rsidRDefault="00A50663" w:rsidP="001E22F7">
      <w:r>
        <w:separator/>
      </w:r>
    </w:p>
  </w:footnote>
  <w:footnote w:type="continuationSeparator" w:id="0">
    <w:p w14:paraId="720A09D8" w14:textId="77777777" w:rsidR="00A50663" w:rsidRDefault="00A50663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2721" w14:textId="77777777" w:rsidR="00E44FA4" w:rsidRDefault="00A50663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2053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793B" w14:textId="16E75071" w:rsidR="00D85FAC" w:rsidRDefault="005F7E0B" w:rsidP="001E22F7">
    <w:pPr>
      <w:pStyle w:val="En-tte"/>
    </w:pPr>
    <w:r>
      <w:rPr>
        <w:noProof/>
      </w:rPr>
      <w:drawing>
        <wp:inline distT="0" distB="0" distL="0" distR="0" wp14:anchorId="3D7F5033" wp14:editId="10CABA37">
          <wp:extent cx="2081350" cy="416472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55" cy="422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7809" w14:textId="77777777" w:rsidR="00E44FA4" w:rsidRDefault="00A50663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2052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0.4pt;height:80.4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5"/>
    <w:rsid w:val="00024E63"/>
    <w:rsid w:val="00062F48"/>
    <w:rsid w:val="0011702B"/>
    <w:rsid w:val="0015068B"/>
    <w:rsid w:val="001C6EF8"/>
    <w:rsid w:val="001E1F73"/>
    <w:rsid w:val="001E22F7"/>
    <w:rsid w:val="001E74B9"/>
    <w:rsid w:val="001F0037"/>
    <w:rsid w:val="00226585"/>
    <w:rsid w:val="00227297"/>
    <w:rsid w:val="002427F1"/>
    <w:rsid w:val="002B42E3"/>
    <w:rsid w:val="002B7E9D"/>
    <w:rsid w:val="002D0544"/>
    <w:rsid w:val="002D6455"/>
    <w:rsid w:val="00324781"/>
    <w:rsid w:val="00464B1A"/>
    <w:rsid w:val="00485F61"/>
    <w:rsid w:val="0053313A"/>
    <w:rsid w:val="0059316C"/>
    <w:rsid w:val="005C007C"/>
    <w:rsid w:val="005E0A77"/>
    <w:rsid w:val="005E7902"/>
    <w:rsid w:val="005F7E0B"/>
    <w:rsid w:val="006159DA"/>
    <w:rsid w:val="006372C3"/>
    <w:rsid w:val="00643B0E"/>
    <w:rsid w:val="00656DFD"/>
    <w:rsid w:val="006743F0"/>
    <w:rsid w:val="0067469E"/>
    <w:rsid w:val="0069270E"/>
    <w:rsid w:val="006D1CB6"/>
    <w:rsid w:val="006E06D1"/>
    <w:rsid w:val="00764078"/>
    <w:rsid w:val="00790863"/>
    <w:rsid w:val="007D7F17"/>
    <w:rsid w:val="007E33C5"/>
    <w:rsid w:val="008E2CA6"/>
    <w:rsid w:val="00907F8F"/>
    <w:rsid w:val="00930882"/>
    <w:rsid w:val="00933C25"/>
    <w:rsid w:val="00961415"/>
    <w:rsid w:val="00977888"/>
    <w:rsid w:val="00977902"/>
    <w:rsid w:val="0098200D"/>
    <w:rsid w:val="009F5914"/>
    <w:rsid w:val="00A354E5"/>
    <w:rsid w:val="00A417CD"/>
    <w:rsid w:val="00A50663"/>
    <w:rsid w:val="00A51ACE"/>
    <w:rsid w:val="00A97563"/>
    <w:rsid w:val="00AB4566"/>
    <w:rsid w:val="00AE557C"/>
    <w:rsid w:val="00B15624"/>
    <w:rsid w:val="00B162D1"/>
    <w:rsid w:val="00BA1B99"/>
    <w:rsid w:val="00BC676E"/>
    <w:rsid w:val="00C01430"/>
    <w:rsid w:val="00C17AB3"/>
    <w:rsid w:val="00C63A5C"/>
    <w:rsid w:val="00C63CDC"/>
    <w:rsid w:val="00C67233"/>
    <w:rsid w:val="00CB4E53"/>
    <w:rsid w:val="00CB72F8"/>
    <w:rsid w:val="00CC1E66"/>
    <w:rsid w:val="00D15E73"/>
    <w:rsid w:val="00D43D68"/>
    <w:rsid w:val="00D56841"/>
    <w:rsid w:val="00D85FAC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F06D47"/>
    <w:rsid w:val="00F131DA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4806-F324-4990-9106-7A4F655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Nathalie RIPOCHE</cp:lastModifiedBy>
  <cp:revision>2</cp:revision>
  <dcterms:created xsi:type="dcterms:W3CDTF">2021-07-20T12:25:00Z</dcterms:created>
  <dcterms:modified xsi:type="dcterms:W3CDTF">2021-07-20T12:25:00Z</dcterms:modified>
</cp:coreProperties>
</file>